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100" w:lineRule="atLeast"/>
        <w:ind w:hanging="0" w:left="0" w:right="0"/>
        <w:jc w:val="right"/>
      </w:pPr>
      <w:r>
        <w:rPr>
          <w:rFonts w:ascii="Calibri" w:hAnsi="Calibri"/>
          <w:sz w:val="24"/>
          <w:szCs w:val="24"/>
        </w:rPr>
        <w:t>Marzec 2016 r.</w:t>
      </w:r>
    </w:p>
    <w:p>
      <w:pPr>
        <w:pStyle w:val="style0"/>
        <w:spacing w:after="120" w:before="0" w:line="100" w:lineRule="atLeast"/>
        <w:ind w:hanging="0" w:left="0" w:right="0"/>
        <w:jc w:val="center"/>
      </w:pPr>
      <w:r>
        <w:rPr>
          <w:rFonts w:ascii="Calibri" w:hAnsi="Calibri"/>
          <w:b/>
          <w:sz w:val="24"/>
          <w:szCs w:val="24"/>
        </w:rPr>
      </w:r>
    </w:p>
    <w:p>
      <w:pPr>
        <w:pStyle w:val="style0"/>
        <w:spacing w:after="120" w:before="0" w:line="100" w:lineRule="atLeast"/>
        <w:ind w:hanging="0" w:left="0" w:right="0"/>
        <w:jc w:val="center"/>
      </w:pPr>
      <w:r>
        <w:rPr>
          <w:rFonts w:ascii="Calibri" w:hAnsi="Calibri"/>
          <w:b/>
          <w:sz w:val="24"/>
          <w:szCs w:val="24"/>
        </w:rPr>
      </w:r>
    </w:p>
    <w:p>
      <w:pPr>
        <w:pStyle w:val="style0"/>
        <w:spacing w:after="120" w:before="0" w:line="100" w:lineRule="atLeast"/>
        <w:ind w:hanging="0" w:left="0" w:right="0"/>
        <w:jc w:val="center"/>
      </w:pPr>
      <w:r>
        <w:rPr>
          <w:rFonts w:ascii="Calibri" w:hAnsi="Calibri"/>
          <w:b/>
          <w:sz w:val="24"/>
          <w:szCs w:val="24"/>
        </w:rPr>
      </w:r>
    </w:p>
    <w:p>
      <w:pPr>
        <w:pStyle w:val="style0"/>
        <w:spacing w:after="120" w:before="0" w:line="100" w:lineRule="atLeast"/>
        <w:ind w:hanging="0" w:left="0" w:right="0"/>
        <w:jc w:val="center"/>
      </w:pPr>
      <w:r>
        <w:rPr>
          <w:rFonts w:ascii="Calibri" w:hAnsi="Calibri"/>
          <w:b/>
          <w:sz w:val="24"/>
          <w:szCs w:val="24"/>
        </w:rPr>
        <w:t>INFORMACJA NA TEMAT TWORZENIA ZWIĄZKU METROPOLITALNEGO</w:t>
      </w:r>
    </w:p>
    <w:p>
      <w:pPr>
        <w:pStyle w:val="style0"/>
        <w:spacing w:after="120" w:before="240" w:line="100" w:lineRule="atLeast"/>
        <w:ind w:hanging="0" w:left="0" w:right="0"/>
      </w:pPr>
      <w:r>
        <w:rPr>
          <w:rFonts w:ascii="Calibri" w:hAnsi="Calibri"/>
          <w:i/>
          <w:sz w:val="24"/>
          <w:szCs w:val="24"/>
        </w:rPr>
        <w:t>Wejście w życie zapisów ustawy z dnia 9 października 2015 r. o związkach metropolitalnych – zwanej dalej Ustawą - dało możliwość utworzenia związku metropolitalnego zrzeszającego zainteresowane jednostki samorządu terytorialnego. Ustawa formalnie sankcjonuje uwarunkowania historyczne, przestrzenno-infrastrukturalne oraz więzi społeczno-gospodarcze</w:t>
        <w:br/>
        <w:t xml:space="preserve"> i kulturowe pomiędzy wskazanymi we wniosku o utworzenie związku metropolitalnego Metropolia „Silesia” gminami Śląska i Zagłębia Dąbrowskiego. 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1.</w:t>
        <w:tab/>
        <w:t>Podstawa prawna wnioskowania o utworzenie związku metropolitalnego: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Złożenie wniosku o utworzenie związku metropolitalnego wynika z art. 4 i art. 6 ust. 1 pkt 2 Ustawy, a wnioskodawcą jest rada gminy, położonej w granicach obszaru metropolitalnego.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2.</w:t>
        <w:tab/>
        <w:t>Przedmiot wniosku o utworzenie związku metropolitalnego i wnioskodawca: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Przedmiotem wniosku jest utworzenie związku metropolitalnego o nazwie Metropolia „Silesia”, przez 24 gminy województwa śląskiego, które charakteryzuje:</w:t>
      </w:r>
    </w:p>
    <w:p>
      <w:pPr>
        <w:pStyle w:val="style0"/>
        <w:numPr>
          <w:ilvl w:val="0"/>
          <w:numId w:val="4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liczba ludności ponad 2,21 mln (48,2% ludności woj. śląskiego - stan na dzień 12.2014, wg danych GUS w Katowicach);</w:t>
      </w:r>
    </w:p>
    <w:p>
      <w:pPr>
        <w:pStyle w:val="style0"/>
        <w:numPr>
          <w:ilvl w:val="0"/>
          <w:numId w:val="4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powierzchnia 1 585 km</w:t>
      </w:r>
      <w:r>
        <w:rPr>
          <w:rFonts w:ascii="Calibri" w:hAnsi="Calibri"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</w:rPr>
        <w:t>(12,8% pow. woj. śląskiego - wg danych GUS w Katowicach).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Górnośląski Związek Metropolitalny przygotował projekt wniosku o utworzenie związku metropolitalnego, którego wnioskodawcą jest Rada Miasta Katowice, tj. gmina na prawach powiatu, położona w granicach obszaru metropolitalnego, będąca siedzibą Wojewody Śląskiego</w:t>
        <w:br/>
        <w:t>i Sejmiku Województwa Śląskiego (wymóg ustawowy).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3.</w:t>
        <w:tab/>
        <w:t>Obszar metropolitalny objęty wnioskiem: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Podstawę delimitacji obszaru metropolitalnego stanowią:</w:t>
      </w:r>
    </w:p>
    <w:p>
      <w:pPr>
        <w:pStyle w:val="style0"/>
        <w:numPr>
          <w:ilvl w:val="0"/>
          <w:numId w:val="3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ustalenia regionalnego dokumentu strategicznego (tj. Strategii Rozwoju Woj. Śląskiego „ŚLĄSKIE 2020+”, 2015 r.), wyznaczającego Metropolię Górnośląskiej złożoną z 23 gmin;</w:t>
      </w:r>
    </w:p>
    <w:p>
      <w:pPr>
        <w:pStyle w:val="style0"/>
        <w:numPr>
          <w:ilvl w:val="0"/>
          <w:numId w:val="3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indywidualna wola gminy Pyskowice wejścia do związku, jako gminy bezpośrednio graniczącej z miastem Gliwice i powiązanej z nim funkcjonalnie i przestrzennie.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Gminy wchodzące w skład związku:</w:t>
      </w:r>
    </w:p>
    <w:p>
      <w:pPr>
        <w:sectPr>
          <w:headerReference r:id="rId2" w:type="first"/>
          <w:footerReference r:id="rId3" w:type="first"/>
          <w:type w:val="nextPage"/>
          <w:pgSz w:h="16838" w:w="11906"/>
          <w:pgMar w:bottom="1475" w:footer="1418" w:gutter="0" w:header="963" w:left="1134" w:right="1134" w:top="1020"/>
          <w:pgNumType w:fmt="decimal"/>
          <w:formProt w:val="false"/>
          <w:titlePg/>
          <w:textDirection w:val="lrTb"/>
          <w:docGrid w:charSpace="4096" w:linePitch="360" w:type="default"/>
        </w:sectPr>
        <w:pStyle w:val="style0"/>
        <w:numPr>
          <w:ilvl w:val="0"/>
          <w:numId w:val="2"/>
        </w:numPr>
        <w:spacing w:after="120" w:before="24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 xml:space="preserve">14 miast na prawach powiatu – członkowie GZM: </w:t>
      </w:r>
      <w:r>
        <w:rPr>
          <w:rFonts w:ascii="Calibri" w:hAnsi="Calibri"/>
          <w:i/>
          <w:sz w:val="24"/>
          <w:szCs w:val="24"/>
        </w:rPr>
        <w:t>Bytom, Chorzów, Dąbrowa Górnicza, Gliwice, Jaworzno, Katowice, Mysłowice, Piekary Śląskie, Ruda Śląska, Siemianowice Śląskie, Sosnowiec, Świętochłowice, Tychy, Zabrze</w:t>
      </w:r>
      <w:r>
        <w:rPr>
          <w:rFonts w:ascii="Calibri" w:hAnsi="Calibri"/>
          <w:sz w:val="24"/>
          <w:szCs w:val="24"/>
        </w:rPr>
        <w:t xml:space="preserve"> (zwarty, intensywnie zagospodarowany obszar bez wyraźnie zauważalnych granic administracyjnych, o podobnych uwarunkowaniach rozwojowych, związanych z procesem industrializacji i urbanizacji od XIX w., centralnie usytuowany w obszarze metropolitalnym);</w:t>
      </w:r>
    </w:p>
    <w:p>
      <w:pPr>
        <w:sectPr>
          <w:headerReference r:id="rId4" w:type="default"/>
          <w:footerReference r:id="rId5" w:type="default"/>
          <w:type w:val="nextPage"/>
          <w:pgSz w:h="16838" w:w="11906"/>
          <w:pgMar w:bottom="1701" w:footer="283" w:gutter="0" w:header="284" w:left="1134" w:right="1134" w:top="1247"/>
          <w:pgNumType w:fmt="decimal"/>
          <w:formProt w:val="false"/>
          <w:textDirection w:val="lrTb"/>
          <w:docGrid w:charSpace="4096" w:linePitch="360" w:type="default"/>
        </w:sectPr>
        <w:pStyle w:val="style0"/>
        <w:numPr>
          <w:ilvl w:val="0"/>
          <w:numId w:val="2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 xml:space="preserve">10 gmin miejskich: </w:t>
      </w:r>
      <w:r>
        <w:rPr>
          <w:rFonts w:ascii="Calibri" w:hAnsi="Calibri"/>
          <w:i/>
          <w:sz w:val="24"/>
          <w:szCs w:val="24"/>
        </w:rPr>
        <w:t>Będzin, Bieruń, Czeladź, Knurów, Łaziska Górne, Mikołów, Pyskowice, Radzionków, Tarnowskie Góry, Wojkowice</w:t>
      </w:r>
      <w:r>
        <w:rPr>
          <w:rFonts w:ascii="Calibri" w:hAnsi="Calibri"/>
          <w:sz w:val="24"/>
          <w:szCs w:val="24"/>
        </w:rPr>
        <w:t xml:space="preserve"> (bezpośrednie otoczenie miast GZM, nieobjęte bezpośrednio procesem industrializacji, o mniejszym stopniu zurbanizowania, ekstensywnej zabudowie i liczniejszych terenach otwartych).</w:t>
      </w:r>
    </w:p>
    <w:p>
      <w:pPr>
        <w:pStyle w:val="style0"/>
        <w:spacing w:after="120" w:before="0" w:line="100" w:lineRule="atLeast"/>
        <w:ind w:hanging="0" w:left="340" w:right="0"/>
      </w:pPr>
      <w:r>
        <w:rPr>
          <w:rFonts w:ascii="Calibri" w:hAnsi="Calibri"/>
          <w:sz w:val="24"/>
          <w:szCs w:val="24"/>
        </w:rPr>
        <w:t>Podstawowe dane dotyczące gmin objętych wnioskiem:</w:t>
      </w:r>
    </w:p>
    <w:tbl>
      <w:tblPr>
        <w:jc w:val="left"/>
        <w:tblInd w:type="dxa" w:w="-1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79"/>
        <w:gridCol w:w="2127"/>
        <w:gridCol w:w="1303"/>
        <w:gridCol w:w="2058"/>
        <w:gridCol w:w="1659"/>
        <w:gridCol w:w="1476"/>
      </w:tblGrid>
      <w:tr>
        <w:trPr>
          <w:tblHeader w:val="true"/>
          <w:trHeight w:hRule="atLeast" w:val="340"/>
          <w:cantSplit w:val="false"/>
        </w:trPr>
        <w:tc>
          <w:tcPr>
            <w:tcW w:type="dxa" w:w="5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Lp.</w:t>
            </w:r>
          </w:p>
        </w:tc>
        <w:tc>
          <w:tcPr>
            <w:tcW w:type="dxa" w:w="2127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Nazwa miasta/gminy</w:t>
            </w:r>
          </w:p>
        </w:tc>
        <w:tc>
          <w:tcPr>
            <w:tcW w:type="dxa" w:w="130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Obszar [km</w:t>
            </w:r>
            <w:r>
              <w:rPr>
                <w:rFonts w:ascii="Calibri" w:eastAsia="Times New Roman" w:hAnsi="Calibri"/>
                <w:color w:val="FFFFFF"/>
                <w:vertAlign w:val="superscript"/>
                <w:lang w:eastAsia="pl-PL"/>
              </w:rPr>
              <w:t>2</w:t>
            </w:r>
            <w:r>
              <w:rPr>
                <w:rFonts w:ascii="Calibri" w:eastAsia="Times New Roman" w:hAnsi="Calibri"/>
                <w:color w:val="FFFFFF"/>
                <w:lang w:eastAsia="pl-PL"/>
              </w:rPr>
              <w:t>]</w:t>
            </w:r>
          </w:p>
        </w:tc>
        <w:tc>
          <w:tcPr>
            <w:tcW w:type="dxa" w:w="2058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Liczba mieszkańców</w:t>
            </w:r>
            <w:r>
              <w:rPr>
                <w:rStyle w:val="style27"/>
              </w:rPr>
              <w:footnoteReference w:id="2"/>
            </w:r>
            <w:r>
              <w:rPr>
                <w:rFonts w:ascii="Calibri" w:eastAsia="Times New Roman" w:hAnsi="Calibri"/>
                <w:color w:val="FFFFFF"/>
                <w:lang w:eastAsia="pl-PL"/>
              </w:rPr>
              <w:t xml:space="preserve"> </w:t>
            </w:r>
          </w:p>
        </w:tc>
        <w:tc>
          <w:tcPr>
            <w:tcW w:type="dxa" w:w="1659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PIT 2014 [PLN]</w:t>
            </w:r>
            <w:r>
              <w:rPr>
                <w:rStyle w:val="style27"/>
              </w:rPr>
              <w:footnoteReference w:id="3"/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953735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FFFFFF"/>
                <w:lang w:eastAsia="pl-PL"/>
              </w:rPr>
              <w:t>5 % z PIT [PLN]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Będzin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37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58205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121 019 880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6 050 994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Bieruń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40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19636</w:t>
            </w:r>
          </w:p>
        </w:tc>
        <w:tc>
          <w:tcPr>
            <w:tcW w:type="dxa" w:w="1659"/>
            <w:tcBorders/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45 958 117</w:t>
            </w:r>
          </w:p>
        </w:tc>
        <w:tc>
          <w:tcPr>
            <w:tcW w:type="dxa" w:w="14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2 297 906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Byto</w:t>
            </w:r>
            <w:r>
              <w:rPr>
                <w:rFonts w:ascii="Calibri" w:eastAsia="Times New Roman" w:hAnsi="Calibri"/>
                <w:lang w:eastAsia="pl-PL"/>
              </w:rPr>
              <w:t>m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69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172306</w:t>
            </w:r>
          </w:p>
        </w:tc>
        <w:tc>
          <w:tcPr>
            <w:tcW w:type="dxa" w:w="1659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292 327 669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14 616 383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Chorzów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33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110337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215 772 504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10 788 625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5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Czeladź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16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32666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69 495 823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3 474 791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Dąbrowa Górnicza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189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123376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275 033 432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13 751 672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7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Gliwice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134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184415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473 385 705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23 669 285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Jaworzno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153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93331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215 728 945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10 786 447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9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Katowice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165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color w:val="000000"/>
                <w:lang w:eastAsia="pl-PL" w:val="en-GB"/>
              </w:rPr>
              <w:t>301834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867 906 217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43 395 311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10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Knurów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34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38859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82 603 036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4 130 152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11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Łaziska Górne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20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22419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46 525 683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2 326 284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12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Mikołów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79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39795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120 941 633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6 047 082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 xml:space="preserve">Mysłowice 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66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75037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175 703 127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8 785 156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14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Piekary Śląskie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40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56755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112 027 795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5 601 390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15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Pyskowice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31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18563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31 821 892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1 591 095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16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Radzionków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17050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34 667 679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1 733 384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17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Ruda Śląska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78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140669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294 225 540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14 711 277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18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Siemianowice Śląskie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25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68634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138 226 103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6 911 305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19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Sosnowiec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91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209274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448 922 088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22 446 104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20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Świętochłowice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51494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88 043 427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4 402 171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21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Tarnowskie Góry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84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60879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135 738 421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6 786 921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22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Tychy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82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128621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330 938 124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16 546 906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23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Wojkowice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13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9033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18 491 796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924 590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24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Zabrze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80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 w:val="en-GB"/>
              </w:rPr>
              <w:t>177188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333 332 293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16 666 615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579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DDDC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spacing w:after="0" w:before="0" w:line="100" w:lineRule="atLeast"/>
              <w:ind w:hanging="0" w:left="0" w:right="0"/>
              <w:jc w:val="left"/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type="dxa" w:w="2127"/>
            <w:tcBorders>
              <w:bottom w:color="00000A" w:space="0" w:sz="4" w:val="single"/>
              <w:right w:color="00000A" w:space="0" w:sz="4" w:val="single"/>
            </w:tcBorders>
            <w:shd w:fill="F2DDDC" w:val="clear"/>
            <w:tcMar>
              <w:top w:type="dxa" w:w="0"/>
              <w:left w:type="dxa" w:w="70"/>
              <w:bottom w:type="dxa" w:w="0"/>
              <w:right w:type="dxa" w:w="70"/>
            </w:tcMar>
            <w:vAlign w:val="bottom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type="dxa" w:w="1303"/>
            <w:tcBorders>
              <w:bottom w:color="00000A" w:space="0" w:sz="4" w:val="single"/>
            </w:tcBorders>
            <w:shd w:fill="F2DDDC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eastAsia="pl-PL"/>
              </w:rPr>
              <w:t>1 585</w:t>
            </w:r>
          </w:p>
        </w:tc>
        <w:tc>
          <w:tcPr>
            <w:tcW w:type="dxa" w:w="2058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DDDC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l-PL"/>
              </w:rPr>
              <w:t>2 210 376</w:t>
            </w:r>
          </w:p>
        </w:tc>
        <w:tc>
          <w:tcPr>
            <w:tcW w:type="dxa" w:w="1659"/>
            <w:tcBorders>
              <w:bottom w:color="00000A" w:space="0" w:sz="4" w:val="single"/>
              <w:right w:color="00000A" w:space="0" w:sz="4" w:val="single"/>
            </w:tcBorders>
            <w:shd w:fill="F2DDDC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l-PL"/>
              </w:rPr>
              <w:t>4 968 836 929</w:t>
            </w:r>
          </w:p>
        </w:tc>
        <w:tc>
          <w:tcPr>
            <w:tcW w:type="dxa" w:w="1476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2DBDB" w:val="clear"/>
            <w:tcMar>
              <w:top w:type="dxa" w:w="0"/>
              <w:left w:type="dxa" w:w="70"/>
              <w:bottom w:type="dxa" w:w="0"/>
              <w:right w:type="dxa" w:w="70"/>
            </w:tcMar>
            <w:vAlign w:val="center"/>
          </w:tcPr>
          <w:p>
            <w:pPr>
              <w:pStyle w:val="style0"/>
              <w:spacing w:after="0" w:before="0" w:line="100" w:lineRule="atLeast"/>
              <w:ind w:hanging="0" w:left="0" w:right="0"/>
              <w:jc w:val="right"/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pl-PL"/>
              </w:rPr>
              <w:t>248 441 846</w:t>
            </w:r>
          </w:p>
        </w:tc>
      </w:tr>
    </w:tbl>
    <w:p>
      <w:pPr>
        <w:pStyle w:val="style0"/>
        <w:spacing w:after="120" w:before="0" w:line="100" w:lineRule="atLeast"/>
      </w:pPr>
      <w:r>
        <w:rPr>
          <w:rFonts w:ascii="Calibri" w:hAnsi="Calibri"/>
          <w:sz w:val="24"/>
          <w:szCs w:val="24"/>
        </w:rPr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</w:t>
        <w:tab/>
        <w:t>Podstawowe zadania i zasady organizacyjno-finansowe związku metropolitalnego: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4.1 Tworzenie związków metropolitalnych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Związek metropolitalny może być utworzony przez Radę Ministrów lub na wniosek rady gminy, położonej w granicach obszaru metropolitalnego.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Warunkiem powstania związku z dniem 1 lipca danego roku, jest wydanie stosownego rozporządzenia przez Radę Ministrów do dnia 30 kwietnia tego samego roku.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W przypadku utworzenia związku metropolitalnego Prezes Rady Ministrów, na wniosek wojewody, wyznacza pełnomocnika spośród pracowników podległych wojewodzie. Pełnomocnik działa do czasu przekazania zadań właściwym organom związku metropolitalnego.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4.2 Władze związku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Związek będzie działał w oparciu o statut, uzgadniany z Prezesem Rady Ministrów i ogłaszany w wojewódzkim dzienniku urzędowym.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Organami związku metropolitalnego będą:</w:t>
      </w:r>
    </w:p>
    <w:p>
      <w:pPr>
        <w:pStyle w:val="style0"/>
        <w:numPr>
          <w:ilvl w:val="0"/>
          <w:numId w:val="7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zgromadzenie (wraz z przewodniczącym i wiceprzewodniczącym) – organ stanowiący</w:t>
        <w:br/>
        <w:t>i kontrolny, złożony z delegatów – po dwóch z każdej gminy i powiatu (tj. wójta/burmistrza/prezydenta i przedstawiciela rady gminy);</w:t>
      </w:r>
    </w:p>
    <w:p>
      <w:pPr>
        <w:pStyle w:val="style0"/>
        <w:numPr>
          <w:ilvl w:val="0"/>
          <w:numId w:val="7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zarząd – organ wykonawczy, złożony z trzech członków, w tym przewodniczącego, wybierany przez zgromadzenie.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 xml:space="preserve">Spośród członków zgromadzenia powoływana jest komisja rewizyjna. Podstawowym zadaniem komisji rewizyjnej jest kontrola działalności zarządu oraz jednostek organizacyjnych utworzonych przez związek. 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 xml:space="preserve">Pierwsza sesja zgromadzenia zwoływana jest przez pełnomocnika do spraw powołania związku metropolitalnego, w ciągu 30 dni od dnia utworzenia związku. 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 xml:space="preserve">Powoływany jest także urząd metropolitalny, przy pomocy którego zarząd wykonuje swoje zadania. 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Nad funkcjonowaniem związku nadzór sprawują:</w:t>
      </w:r>
    </w:p>
    <w:p>
      <w:pPr>
        <w:pStyle w:val="style0"/>
        <w:numPr>
          <w:ilvl w:val="0"/>
          <w:numId w:val="10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Prezes Rady Ministrów oraz wojewoda – w zakresie działalności związku;</w:t>
      </w:r>
    </w:p>
    <w:p>
      <w:pPr>
        <w:pStyle w:val="style0"/>
        <w:numPr>
          <w:ilvl w:val="0"/>
          <w:numId w:val="10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Regionalna Izba Obrachunkowa – w zakresie spraw finansowych.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4.3 System podejmowania decyzji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Każda gmina będzie miała taki sam wpływ na kluczowe decyzje, podział i wykorzystanie środków finansowych, a także zadania realizowane przez związek metropolitalny. Uchwały podejmuje się kwalifikowaną większością głosów. Warunek ten jest spełniony, jeśli za przyjęciem uchwały głosuje większość jednostek samorządu terytorialnego wchodzących w skład związku i jednocześnie – taka liczba gmin, której mieszkańcy stanowią większość ludności obszaru metropolitalnego.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Uchwały zarządu zapadają zwykłą większością głosów, w obecności co najmniej połowy ustawowego składu, w głosowaniu jawnym.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4.4 Zadania związku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Ustawa wyznacza podstawowe zadania publiczne Związku:</w:t>
      </w:r>
    </w:p>
    <w:p>
      <w:pPr>
        <w:pStyle w:val="style0"/>
        <w:numPr>
          <w:ilvl w:val="0"/>
          <w:numId w:val="9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kształtowanie ładu przestrzennego (m.in. w zakresie infrastruktury technicznej i komunikacyjnej, systemu terenów zieleni i powiązań przyrodniczych, opracowania ramowego studium uwarunkowań i kierunków zagospodarowania przestrzennego);</w:t>
      </w:r>
    </w:p>
    <w:p>
      <w:pPr>
        <w:pStyle w:val="style0"/>
        <w:numPr>
          <w:ilvl w:val="0"/>
          <w:numId w:val="9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rozwój obszaru związku;</w:t>
      </w:r>
    </w:p>
    <w:p>
      <w:pPr>
        <w:pStyle w:val="style0"/>
        <w:numPr>
          <w:ilvl w:val="0"/>
          <w:numId w:val="9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publiczny transport zbiorowy;</w:t>
      </w:r>
    </w:p>
    <w:p>
      <w:pPr>
        <w:pStyle w:val="style0"/>
        <w:numPr>
          <w:ilvl w:val="0"/>
          <w:numId w:val="9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współdziałanie w ustalaniu przebiegu dróg krajowych i wojewódzkich na obszarze związku;</w:t>
      </w:r>
    </w:p>
    <w:p>
      <w:pPr>
        <w:pStyle w:val="style0"/>
        <w:numPr>
          <w:ilvl w:val="0"/>
          <w:numId w:val="9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promocja w kraju i za granicą wszelkich walorów metropolii - gospodarczych, kulturalnych, turystycznych, przyrodniczych.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Katalog zadań związku nie jest katalogiem zamkniętym. Związek może realizować zadania publiczne niewymienione w Ustawie, na podstawie porozumień z jednostkami samorządu terytorialnego, czy też organami administracji rządowej, tworzyć stowarzyszenia, powoływać nowe podmioty, a także prowadzić działalność gospodarczą. Związek może też nawiązywać współpracę z podmiotami o charakterze metropolitalnym z innych państw. To od decyzji gmin tworzących związek metropolitalny zależy, jakie zadania będzie realizował.</w:t>
      </w:r>
      <w:r>
        <w:rPr>
          <w:rFonts w:ascii="Calibri" w:hAnsi="Calibri"/>
          <w:b/>
          <w:color w:val="FFFFFF"/>
          <w:sz w:val="24"/>
          <w:szCs w:val="24"/>
        </w:rPr>
        <w:t xml:space="preserve"> Pro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4.5 Mienie i dochody związku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Wojewoda jest zobowiązany do nieodpłatnego przekazania związkowi metropolitalnemu mienia nieruchomego Skarbu Państwa, z przeznaczeniem na siedzibę organów związku metropolitalnego. Może też udzielić dotacji na działania związane z utworzeniem związku metropolitalnego.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 xml:space="preserve">Dochody związku, to w szczególności: </w:t>
      </w:r>
    </w:p>
    <w:p>
      <w:pPr>
        <w:pStyle w:val="style0"/>
        <w:numPr>
          <w:ilvl w:val="0"/>
          <w:numId w:val="8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wpływy z podatku dochodowego od osób fizycznych zamieszkałych na obszarze związku (PIT), w wysokości 5%.  Są to środki dodatkowe, niezależne od dotychczasowych wpływów jednostek samorządu terytorialnego z tego tytułu. Wysokość tych środków szacuje się na 200-250 mln złotych. Jeśli przyjmiemy, że środki te mogą być wykorzystane, jako wkład własny pozwalający na ubieganie się o dotacje i środki unijne, to kwota ta może być kilkukrotnie większa;</w:t>
      </w:r>
    </w:p>
    <w:p>
      <w:pPr>
        <w:pStyle w:val="style0"/>
        <w:numPr>
          <w:ilvl w:val="0"/>
          <w:numId w:val="8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składki członkowskie gmin tworzących związek – w wysokości zapewniającej realizację zadań – nie mniej niż 4% wpływów danej gminy z tytułu podatku dochodowego od osób fizycznych PIT.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5.</w:t>
        <w:tab/>
        <w:t>Uzasadnienie utworzenia związku metropolitalnego: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sz w:val="24"/>
          <w:szCs w:val="24"/>
        </w:rPr>
        <w:t>Gminy objęte wnioskiem o utworzenie związku metropolitalnego tworzą obszar, który pod względem istniejącej struktury funkcjonalno-przestrzennej, stanu gospodarki i uwarunkowań demograficznych wykazuje potencjał do dalszego rozwoju cech metropolitalnych, tak by w wieloletniej perspektywie dorównać ukształtowanym metropoliom Europy Zachodniej.</w:t>
      </w:r>
    </w:p>
    <w:p>
      <w:pPr>
        <w:pStyle w:val="style0"/>
        <w:spacing w:after="120" w:before="0" w:line="100" w:lineRule="atLeast"/>
        <w:ind w:hanging="0" w:left="0" w:right="0"/>
      </w:pPr>
      <w:r>
        <w:rPr>
          <w:rFonts w:ascii="Calibri" w:hAnsi="Calibri"/>
          <w:b/>
          <w:sz w:val="24"/>
          <w:szCs w:val="24"/>
        </w:rPr>
        <w:t>Za utworzeniem związku metropolitalnego przez gminy tworzące obszar metropolitalny przemawiają względy organizacyjne, terytorialne, strategiczne:</w:t>
      </w:r>
    </w:p>
    <w:p>
      <w:pPr>
        <w:pStyle w:val="style0"/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a)</w:t>
        <w:tab/>
      </w:r>
      <w:r>
        <w:rPr>
          <w:rFonts w:ascii="Calibri" w:hAnsi="Calibri"/>
          <w:b/>
          <w:sz w:val="24"/>
          <w:szCs w:val="24"/>
        </w:rPr>
        <w:t>względy organizacyjne</w:t>
      </w:r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4"/>
          <w:szCs w:val="24"/>
        </w:rPr>
        <w:t xml:space="preserve">konieczność formalnego usankcjonowania wieloletnich dążeń GZM do stworzenia instytucji, pozwalającej na skuteczną, trwałą współpracę samorządów lokalnych i kreowanie procesów metropolizacji regionu oraz kontynuowanie w ramach nowej struktury wspólnych, ponadlokalnych działań i dążeń do rozwoju metropolitalności miast, jako kolejnego etapu w procesie transformacji obszaru industrialnego w postindustrialny; </w:t>
      </w:r>
    </w:p>
    <w:p>
      <w:pPr>
        <w:pStyle w:val="style0"/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b)</w:t>
        <w:tab/>
      </w:r>
      <w:r>
        <w:rPr>
          <w:rFonts w:ascii="Calibri" w:hAnsi="Calibri"/>
          <w:b/>
          <w:sz w:val="24"/>
          <w:szCs w:val="24"/>
        </w:rPr>
        <w:t>względy terytorialne</w:t>
      </w:r>
      <w:r>
        <w:rPr>
          <w:rFonts w:ascii="Calibri" w:hAnsi="Calibri"/>
          <w:sz w:val="24"/>
          <w:szCs w:val="24"/>
        </w:rPr>
        <w:t xml:space="preserve">: </w:t>
      </w:r>
      <w:r>
        <w:rPr>
          <w:rFonts w:ascii="Calibri" w:cs="Garamond" w:hAnsi="Calibri"/>
          <w:color w:val="000000"/>
          <w:sz w:val="24"/>
          <w:szCs w:val="24"/>
          <w:lang w:eastAsia="pl-PL"/>
        </w:rPr>
        <w:t>istniejący obszar metropolitalny, cechuje się silnymi powiązaniami przestrzenno-infrastrukturalnymi oraz społeczno-gospodarczymi i występowaniem funkcji metropolitalnych, tj.:</w:t>
      </w:r>
    </w:p>
    <w:p>
      <w:pPr>
        <w:pStyle w:val="style0"/>
        <w:numPr>
          <w:ilvl w:val="0"/>
          <w:numId w:val="4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pod względem powiązań przestrzenno-infrastrukturalnych:</w:t>
      </w:r>
    </w:p>
    <w:p>
      <w:pPr>
        <w:pStyle w:val="style0"/>
        <w:numPr>
          <w:ilvl w:val="0"/>
          <w:numId w:val="11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najbardziej zurbanizowana, uprzemysłowiona oraz spójna osadniczo i przestrzennie częś</w:t>
      </w:r>
    </w:p>
    <w:p>
      <w:pPr>
        <w:pStyle w:val="style0"/>
        <w:numPr>
          <w:ilvl w:val="0"/>
          <w:numId w:val="11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woj. śląskiego;</w:t>
      </w:r>
    </w:p>
    <w:p>
      <w:pPr>
        <w:pStyle w:val="style0"/>
        <w:numPr>
          <w:ilvl w:val="0"/>
          <w:numId w:val="11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liczne wewnętrzne przepływ ludności, głównie na kierunkach miejsce zamieszkania – praca / szkoła / uczelnia/ obiekty użyteczności publicznej, itp.;</w:t>
      </w:r>
    </w:p>
    <w:p>
      <w:pPr>
        <w:pStyle w:val="style0"/>
        <w:numPr>
          <w:ilvl w:val="0"/>
          <w:numId w:val="11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rozbudowana sieć głównych korytarzy transportowych, częściowo wpisujących się w Transeuropejską Sieć Transportu (TEN-T), tj. sieć transportu drogowego, kolejowego, powietrznego i wodnego stanowiąca podstawowy system komunikacyjny UE i podstawę realizacji polityki transportowej kraju (w tym: autostrady A1 i A4, linie kolejowe dużych prędkości - Centralna Magistrala Kolejowa, itp.);</w:t>
      </w:r>
    </w:p>
    <w:p>
      <w:pPr>
        <w:pStyle w:val="style38"/>
        <w:numPr>
          <w:ilvl w:val="0"/>
          <w:numId w:val="11"/>
        </w:numPr>
        <w:spacing w:after="120" w:before="0"/>
        <w:jc w:val="both"/>
      </w:pPr>
      <w:r>
        <w:rPr>
          <w:rFonts w:ascii="Calibri" w:hAnsi="Calibri"/>
        </w:rPr>
        <w:t>liczne liniowe powiązania drogowe, sieci infrastruktury technicznej między miastami oraz wspólne urządzenia z zakresu obsługi komunalnej, itp. (m.in. wynikające ze struktury przestrzennej obszaru cechującej się dużą zwartością i ciągłością zabudowy).</w:t>
      </w:r>
    </w:p>
    <w:p>
      <w:pPr>
        <w:pStyle w:val="style0"/>
        <w:numPr>
          <w:ilvl w:val="0"/>
          <w:numId w:val="5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pod względem powiązań społeczno-gospodarczych:</w:t>
      </w:r>
    </w:p>
    <w:p>
      <w:pPr>
        <w:pStyle w:val="style0"/>
        <w:numPr>
          <w:ilvl w:val="0"/>
          <w:numId w:val="12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współcześnie i historycznie uwarunkowane migracje ludności i wymiana kulturowa między Śląskiem a Zagłębiem Dąbrowskim;</w:t>
      </w:r>
    </w:p>
    <w:p>
      <w:pPr>
        <w:pStyle w:val="style0"/>
        <w:numPr>
          <w:ilvl w:val="0"/>
          <w:numId w:val="12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trwający od ponad 20 lat proces transformacji społeczno-gospodarczej z obszaru typowo przemysłowego (tzw. Górnośląski Okręg Przemysłowy) w postindustrialny obszar metropolitalny;</w:t>
      </w:r>
    </w:p>
    <w:p>
      <w:pPr>
        <w:pStyle w:val="style0"/>
        <w:numPr>
          <w:ilvl w:val="0"/>
          <w:numId w:val="12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rozproszone rozmieszczenie (na obszarze metropolitalnym) obiektów użyteczności publicznej (kultury, sportu, szkolnictwa wyższego, edukacji, itp.) i komercyjnych obiektów usługowych.</w:t>
      </w:r>
    </w:p>
    <w:p>
      <w:pPr>
        <w:pStyle w:val="style0"/>
        <w:numPr>
          <w:ilvl w:val="0"/>
          <w:numId w:val="1"/>
        </w:numPr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 xml:space="preserve">pod względem funkcji metropolitalnych: </w:t>
      </w:r>
    </w:p>
    <w:p>
      <w:pPr>
        <w:pStyle w:val="style0"/>
        <w:numPr>
          <w:ilvl w:val="0"/>
          <w:numId w:val="13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urzędy i delegatury jednostek rządowych, samorządowych, instytutów naukowych oraz regionalnych biur firm i korporacji krajowych i międzynarodowych;</w:t>
      </w:r>
    </w:p>
    <w:p>
      <w:pPr>
        <w:pStyle w:val="style0"/>
        <w:numPr>
          <w:ilvl w:val="0"/>
          <w:numId w:val="13"/>
        </w:numPr>
        <w:spacing w:after="120" w:before="0" w:line="100" w:lineRule="atLeast"/>
      </w:pPr>
      <w:r>
        <w:rPr>
          <w:rFonts w:ascii="Calibri" w:hAnsi="Calibri"/>
          <w:sz w:val="24"/>
          <w:szCs w:val="24"/>
        </w:rPr>
        <w:t>kilkanaście uczelni wyższych publicznych i prywatnych;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100" w:lineRule="atLeast"/>
      </w:pPr>
      <w:r>
        <w:rPr>
          <w:rFonts w:ascii="Calibri" w:hAnsi="Calibri"/>
          <w:sz w:val="24"/>
          <w:szCs w:val="24"/>
        </w:rPr>
        <w:t>obiekty kongresowe oraz kilkadziesiąt kin, teatrów i muzeów, obiektów kultury i sportu o randze ponadregionalnej;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100" w:lineRule="atLeast"/>
      </w:pPr>
      <w:r>
        <w:rPr>
          <w:rFonts w:ascii="Calibri" w:hAnsi="Calibri"/>
          <w:sz w:val="24"/>
          <w:szCs w:val="24"/>
        </w:rPr>
        <w:t>rozwinięte wysokospecjalistyczne usługi medyczne i przemysł motoryzacyjny</w:t>
      </w:r>
      <w:r>
        <w:rPr>
          <w:rFonts w:ascii="Calibri" w:hAnsi="Calibri"/>
          <w:i/>
          <w:sz w:val="24"/>
          <w:szCs w:val="24"/>
        </w:rPr>
        <w:t>;</w:t>
      </w:r>
    </w:p>
    <w:p>
      <w:pPr>
        <w:pStyle w:val="style0"/>
        <w:numPr>
          <w:ilvl w:val="0"/>
          <w:numId w:val="13"/>
        </w:numPr>
        <w:shd w:fill="FFFFFF" w:val="clear"/>
        <w:spacing w:after="120" w:before="0" w:line="100" w:lineRule="atLeast"/>
      </w:pPr>
      <w:r>
        <w:rPr>
          <w:rFonts w:ascii="Calibri" w:hAnsi="Calibri"/>
          <w:sz w:val="24"/>
          <w:szCs w:val="24"/>
        </w:rPr>
        <w:t>liczne tereny inwestycyjne oraz Katowicka Specjalna Strefa Ekonomiczna.</w:t>
      </w:r>
    </w:p>
    <w:p>
      <w:pPr>
        <w:pStyle w:val="style0"/>
        <w:spacing w:after="120" w:before="0" w:line="100" w:lineRule="atLeast"/>
        <w:ind w:hanging="340" w:left="340" w:right="0"/>
      </w:pPr>
      <w:r>
        <w:rPr>
          <w:rFonts w:ascii="Calibri" w:hAnsi="Calibri"/>
          <w:sz w:val="24"/>
          <w:szCs w:val="24"/>
        </w:rPr>
        <w:t>c)</w:t>
        <w:tab/>
      </w:r>
      <w:r>
        <w:rPr>
          <w:rFonts w:ascii="Calibri" w:hAnsi="Calibri"/>
          <w:b/>
          <w:sz w:val="24"/>
          <w:szCs w:val="24"/>
        </w:rPr>
        <w:t>względy strategiczne</w:t>
      </w:r>
      <w:r>
        <w:rPr>
          <w:rFonts w:ascii="Calibri" w:hAnsi="Calibri"/>
          <w:sz w:val="24"/>
          <w:szCs w:val="24"/>
        </w:rPr>
        <w:t xml:space="preserve">: obszaru metropolitalny w województwie śląskim został zdefiniowany w strategicznych dokumentach: krajowych, regionalnych i lokalnych oraz opracowań naukowych, takich jak: 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Koncepcja Przestrzennego Zagospodarowania Kraju 2030;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Strategia dla Rozwoju Polski Południowej w obszarze województw małopolskiego i śląskiego do roku 2020;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Strategia Rozwoju Województwa Śląskiego „ŚLĄSKIE 2020 +” (Planu Zagospodarowania Przestrzennego Województwa Śląskiego „PLAN 2020+”);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Strategia Rozwoju Górnośląsko-Zagłębiowskiej Metropolii „Silesia” do 2025 r.;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Strategia Rozwoju Miasta „Katowice 2030”.</w:t>
      </w:r>
    </w:p>
    <w:p>
      <w:pPr>
        <w:pStyle w:val="style0"/>
        <w:numPr>
          <w:ilvl w:val="0"/>
          <w:numId w:val="6"/>
        </w:numPr>
        <w:spacing w:after="120" w:before="0" w:line="100" w:lineRule="atLeast"/>
        <w:ind w:hanging="340" w:left="340" w:right="0"/>
      </w:pPr>
      <w:r>
        <w:rPr>
          <w:rFonts w:ascii="Calibri" w:hAnsi="Calibri"/>
          <w:i/>
          <w:sz w:val="24"/>
          <w:szCs w:val="24"/>
        </w:rPr>
        <w:t>Wybrane opracowania naukowe:</w:t>
      </w:r>
    </w:p>
    <w:p>
      <w:pPr>
        <w:pStyle w:val="style0"/>
        <w:numPr>
          <w:ilvl w:val="0"/>
          <w:numId w:val="14"/>
        </w:numPr>
        <w:spacing w:after="120" w:before="0" w:line="100" w:lineRule="atLeast"/>
      </w:pPr>
      <w:r>
        <w:rPr>
          <w:rFonts w:ascii="Calibri" w:hAnsi="Calibri"/>
          <w:i/>
          <w:sz w:val="24"/>
          <w:szCs w:val="24"/>
        </w:rPr>
        <w:t>Foresight technologiczny rozwoju sektora usług publicznych w Górnośląskim Obszarze Metropolitalnym, 2010 – 2012</w:t>
      </w:r>
      <w:r>
        <w:rPr>
          <w:rFonts w:ascii="Calibri" w:hAnsi="Calibri"/>
          <w:sz w:val="24"/>
          <w:szCs w:val="24"/>
        </w:rPr>
        <w:t>;</w:t>
      </w:r>
    </w:p>
    <w:p>
      <w:pPr>
        <w:pStyle w:val="style0"/>
        <w:numPr>
          <w:ilvl w:val="0"/>
          <w:numId w:val="14"/>
        </w:numPr>
        <w:spacing w:after="120" w:before="0" w:line="100" w:lineRule="atLeast"/>
      </w:pPr>
      <w:r>
        <w:rPr>
          <w:rFonts w:ascii="Calibri" w:hAnsi="Calibri"/>
          <w:i/>
          <w:sz w:val="24"/>
          <w:szCs w:val="24"/>
        </w:rPr>
        <w:t>Górnośląski Związek Metropolitalny – zarys geograficzny</w:t>
      </w:r>
      <w:r>
        <w:rPr>
          <w:rFonts w:ascii="Calibri" w:hAnsi="Calibri"/>
          <w:sz w:val="24"/>
          <w:szCs w:val="24"/>
        </w:rPr>
        <w:t>, Polskie Towarzystwo Geograficzne Oddział Katowicki, 2008;</w:t>
      </w:r>
    </w:p>
    <w:p>
      <w:pPr>
        <w:pStyle w:val="style0"/>
        <w:numPr>
          <w:ilvl w:val="0"/>
          <w:numId w:val="14"/>
        </w:numPr>
        <w:spacing w:after="120" w:before="0" w:line="100" w:lineRule="atLeast"/>
      </w:pPr>
      <w:r>
        <w:rPr>
          <w:rFonts w:ascii="Calibri" w:eastAsia="Times New Roman" w:hAnsi="Calibri"/>
          <w:i/>
          <w:sz w:val="24"/>
          <w:szCs w:val="24"/>
        </w:rPr>
        <w:t>Program Rozwoju Gospodarczego Metropolii „Silesia” do 2025 r</w:t>
      </w:r>
      <w:r>
        <w:rPr>
          <w:rFonts w:ascii="Calibri" w:eastAsia="Times New Roman" w:hAnsi="Calibri"/>
          <w:sz w:val="24"/>
          <w:szCs w:val="24"/>
        </w:rPr>
        <w:t>. wraz z raportami cząstkowymi, GZM, 2013-2015;</w:t>
      </w:r>
    </w:p>
    <w:p>
      <w:pPr>
        <w:pStyle w:val="style0"/>
        <w:numPr>
          <w:ilvl w:val="0"/>
          <w:numId w:val="14"/>
        </w:numPr>
        <w:spacing w:after="120" w:before="0" w:line="100" w:lineRule="atLeast"/>
      </w:pPr>
      <w:r>
        <w:rPr>
          <w:rFonts w:ascii="Calibri" w:hAnsi="Calibri"/>
          <w:i/>
          <w:sz w:val="24"/>
          <w:szCs w:val="24"/>
        </w:rPr>
        <w:t>Raport o polskich metropoliach</w:t>
      </w:r>
      <w:r>
        <w:rPr>
          <w:rFonts w:ascii="Calibri" w:hAnsi="Calibri"/>
          <w:sz w:val="24"/>
          <w:szCs w:val="24"/>
        </w:rPr>
        <w:t>, PwC, 2015 r.</w:t>
      </w:r>
    </w:p>
    <w:p>
      <w:pPr>
        <w:pStyle w:val="style0"/>
        <w:widowControl/>
        <w:spacing w:after="200" w:before="0" w:line="276" w:lineRule="auto"/>
        <w:ind w:firstLine="851" w:left="0" w:right="0"/>
        <w:jc w:val="both"/>
      </w:pPr>
      <w:r>
        <w:rPr/>
      </w:r>
    </w:p>
    <w:sectPr>
      <w:headerReference r:id="rId6" w:type="default"/>
      <w:footerReference r:id="rId7" w:type="default"/>
      <w:footnotePr>
        <w:numFmt w:val="decimal"/>
      </w:footnotePr>
      <w:type w:val="nextPage"/>
      <w:pgSz w:h="16838" w:w="11906"/>
      <w:pgMar w:bottom="1701" w:footer="283" w:gutter="0" w:header="284" w:left="1134" w:right="1134" w:top="124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-720090</wp:posOffset>
          </wp:positionH>
          <wp:positionV relativeFrom="line">
            <wp:posOffset>-1345565</wp:posOffset>
          </wp:positionV>
          <wp:extent cx="7560310" cy="2016760"/>
          <wp:effectExtent b="0" l="0" r="0" t="0"/>
          <wp:wrapNone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1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37"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  <w:jc w:val="right"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37"/>
    </w:pPr>
    <w:r>
      <w:rPr/>
    </w:r>
  </w:p>
</w:ftr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9"/>
        <w:spacing w:after="0" w:before="0" w:line="100" w:lineRule="atLeast"/>
        <w:ind w:hanging="0" w:left="0" w:right="0"/>
      </w:pPr>
      <w:r>
        <w:rPr>
          <w:rStyle w:val="style21"/>
          <w:rFonts w:ascii="Calibri" w:hAnsi="Calibri"/>
        </w:rPr>
        <w:footnoteRef/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Statystyczne Wademekum Samorządowca 2015, Urząd Statystyczny w Katowicach [katowice.stat.gov.pl]; </w:t>
      </w:r>
      <w:r>
        <w:rPr>
          <w:rFonts w:ascii="Calibri" w:eastAsia="Times New Roman" w:hAnsi="Calibri"/>
          <w:lang w:eastAsia="pl-PL"/>
        </w:rPr>
        <w:t>stan na 31.12.2014</w:t>
      </w:r>
      <w:r>
        <w:rPr>
          <w:rFonts w:ascii="Calibri" w:hAnsi="Calibri"/>
        </w:rPr>
        <w:t>;</w:t>
      </w:r>
    </w:p>
  </w:footnote>
  <w:footnote w:id="3">
    <w:p>
      <w:pPr>
        <w:pStyle w:val="style39"/>
        <w:spacing w:after="0" w:before="0" w:line="100" w:lineRule="atLeast"/>
        <w:ind w:hanging="0" w:left="0" w:right="0"/>
      </w:pPr>
      <w:r>
        <w:rPr>
          <w:rStyle w:val="style21"/>
          <w:rFonts w:ascii="Calibri" w:hAnsi="Calibri"/>
        </w:rPr>
        <w:footnoteRef/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Kwota podatku należnego z PIT-36, PIT-36L, PIT-37, PIT-38, PIT-39, PIT-40, PIT-40A - źródło: dane Izby Skarbowej w Katowicach, uzyskane pismem GZM-138/W/2015 z 13.11.2015 r.;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keepNext/>
      <w:tabs>
        <w:tab w:leader="none" w:pos="4536" w:val="center"/>
        <w:tab w:leader="none" w:pos="9072" w:val="right"/>
      </w:tabs>
      <w:spacing w:after="0" w:before="240" w:line="100" w:lineRule="atLeast"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-718820</wp:posOffset>
          </wp:positionH>
          <wp:positionV relativeFrom="line">
            <wp:posOffset>-154940</wp:posOffset>
          </wp:positionV>
          <wp:extent cx="2370455" cy="956945"/>
          <wp:effectExtent b="0" l="0" r="0" t="0"/>
          <wp:wrapNone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45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spacing w:after="0" w:before="240"/>
      <w:ind w:hanging="0" w:left="0" w:right="0"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spacing w:after="0" w:before="240"/>
      <w:ind w:hanging="0" w:left="0" w:right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10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hanging="360" w:left="1060"/>
      </w:p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74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94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214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934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54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74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94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814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534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0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"/>
      <w:lvlJc w:val="left"/>
      <w:pPr>
        <w:ind w:hanging="360" w:left="10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"/>
      <w:lvlJc w:val="left"/>
      <w:pPr>
        <w:ind w:hanging="360" w:left="10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bullet"/>
      <w:lvlText w:val=""/>
      <w:lvlJc w:val="left"/>
      <w:pPr>
        <w:ind w:hanging="360" w:left="10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7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3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20"/>
      </w:pPr>
      <w:rPr>
        <w:rFonts w:ascii="Wingdings" w:cs="Wingdings" w:hAnsi="Wingdings" w:hint="default"/>
      </w:rPr>
    </w:lvl>
  </w:abstractNum>
  <w:abstractNum w:abstractNumId="14">
    <w:lvl w:ilvl="0">
      <w:start w:val="1"/>
      <w:numFmt w:val="bullet"/>
      <w:lvlText w:val="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  <w:ind w:firstLine="851" w:left="0" w:right="0"/>
      <w:jc w:val="both"/>
    </w:pPr>
    <w:rPr>
      <w:rFonts w:ascii="MetaPro-Normal" w:cs="Times New Roman" w:eastAsia="Calibri" w:hAnsi="MetaPro-Normal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Placeholder Text"/>
    <w:basedOn w:val="style15"/>
    <w:next w:val="style16"/>
    <w:rPr>
      <w:color w:val="808080"/>
    </w:rPr>
  </w:style>
  <w:style w:styleId="style17" w:type="character">
    <w:name w:val="Tekst dymka Znak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Nagłówek Znak"/>
    <w:basedOn w:val="style15"/>
    <w:next w:val="style18"/>
    <w:rPr>
      <w:rFonts w:ascii="MetaPro-Normal" w:hAnsi="MetaPro-Normal"/>
      <w:sz w:val="24"/>
    </w:rPr>
  </w:style>
  <w:style w:styleId="style19" w:type="character">
    <w:name w:val="Stopka Znak"/>
    <w:basedOn w:val="style15"/>
    <w:next w:val="style19"/>
    <w:rPr>
      <w:rFonts w:ascii="MetaPro-Normal" w:hAnsi="MetaPro-Normal"/>
      <w:sz w:val="24"/>
    </w:rPr>
  </w:style>
  <w:style w:styleId="style20" w:type="character">
    <w:name w:val="Tekst przypisu dolnego Znak"/>
    <w:basedOn w:val="style15"/>
    <w:next w:val="style20"/>
    <w:rPr>
      <w:rFonts w:ascii="MetaPro-Normal" w:cs="Times New Roman" w:eastAsia="Calibri" w:hAnsi="MetaPro-Normal"/>
      <w:sz w:val="20"/>
      <w:szCs w:val="20"/>
    </w:rPr>
  </w:style>
  <w:style w:styleId="style21" w:type="character">
    <w:name w:val="footnote reference"/>
    <w:basedOn w:val="style15"/>
    <w:next w:val="style21"/>
    <w:rPr>
      <w:vertAlign w:val="superscript"/>
    </w:rPr>
  </w:style>
  <w:style w:styleId="style22" w:type="character">
    <w:name w:val="annotation reference"/>
    <w:basedOn w:val="style15"/>
    <w:next w:val="style22"/>
    <w:rPr>
      <w:sz w:val="16"/>
      <w:szCs w:val="16"/>
    </w:rPr>
  </w:style>
  <w:style w:styleId="style23" w:type="character">
    <w:name w:val="Tekst komentarza Znak"/>
    <w:basedOn w:val="style15"/>
    <w:next w:val="style23"/>
    <w:rPr>
      <w:rFonts w:ascii="MetaPro-Normal" w:hAnsi="MetaPro-Normal"/>
      <w:lang w:eastAsia="en-US"/>
    </w:rPr>
  </w:style>
  <w:style w:styleId="style24" w:type="character">
    <w:name w:val="Temat komentarza Znak"/>
    <w:basedOn w:val="style23"/>
    <w:next w:val="style24"/>
    <w:rPr>
      <w:b/>
      <w:bCs/>
    </w:rPr>
  </w:style>
  <w:style w:styleId="style25" w:type="character">
    <w:name w:val="ListLabel 1"/>
    <w:next w:val="style25"/>
    <w:rPr>
      <w:rFonts w:cs="Courier New"/>
    </w:rPr>
  </w:style>
  <w:style w:styleId="style26" w:type="character">
    <w:name w:val="Znaki przypisów dolnych"/>
    <w:next w:val="style26"/>
    <w:rPr/>
  </w:style>
  <w:style w:styleId="style27" w:type="character">
    <w:name w:val="Zakotwiczenie przypisu dolnego"/>
    <w:next w:val="style27"/>
    <w:rPr>
      <w:vertAlign w:val="superscript"/>
    </w:rPr>
  </w:style>
  <w:style w:styleId="style28" w:type="character">
    <w:name w:val="Zakotwiczenie przypisu końcowego"/>
    <w:next w:val="style28"/>
    <w:rPr>
      <w:vertAlign w:val="superscript"/>
    </w:rPr>
  </w:style>
  <w:style w:styleId="style29" w:type="character">
    <w:name w:val="Znaki przypisów końcowych"/>
    <w:next w:val="style29"/>
    <w:rPr/>
  </w:style>
  <w:style w:styleId="style30" w:type="paragraph">
    <w:name w:val="Nagłówek"/>
    <w:basedOn w:val="style0"/>
    <w:next w:val="style31"/>
    <w:pPr>
      <w:keepNext/>
      <w:tabs>
        <w:tab w:leader="none" w:pos="4536" w:val="center"/>
        <w:tab w:leader="none" w:pos="9072" w:val="right"/>
      </w:tabs>
      <w:spacing w:after="0" w:before="240" w:line="100" w:lineRule="atLeast"/>
    </w:pPr>
    <w:rPr>
      <w:rFonts w:ascii="Arial" w:cs="Mangal" w:eastAsia="Microsoft YaHei" w:hAnsi="Arial"/>
      <w:sz w:val="28"/>
      <w:szCs w:val="28"/>
    </w:rPr>
  </w:style>
  <w:style w:styleId="style31" w:type="paragraph">
    <w:name w:val="Treść tekstu"/>
    <w:basedOn w:val="style0"/>
    <w:next w:val="style31"/>
    <w:pPr>
      <w:spacing w:after="120" w:before="0"/>
    </w:pPr>
    <w:rPr/>
  </w:style>
  <w:style w:styleId="style32" w:type="paragraph">
    <w:name w:val="Lista"/>
    <w:basedOn w:val="style31"/>
    <w:next w:val="style32"/>
    <w:pPr/>
    <w:rPr>
      <w:rFonts w:cs="Mangal"/>
    </w:rPr>
  </w:style>
  <w:style w:styleId="style33" w:type="paragraph">
    <w:name w:val="Podpis"/>
    <w:basedOn w:val="style0"/>
    <w:next w:val="style3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4" w:type="paragraph">
    <w:name w:val="Indeks"/>
    <w:basedOn w:val="style0"/>
    <w:next w:val="style34"/>
    <w:pPr>
      <w:suppressLineNumbers/>
    </w:pPr>
    <w:rPr>
      <w:rFonts w:cs="Mangal"/>
    </w:rPr>
  </w:style>
  <w:style w:styleId="style35" w:type="paragraph">
    <w:name w:val="Balloon Text"/>
    <w:basedOn w:val="style0"/>
    <w:next w:val="style35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6" w:type="paragraph">
    <w:name w:val="Body"/>
    <w:basedOn w:val="style0"/>
    <w:next w:val="style36"/>
    <w:pPr>
      <w:spacing w:after="120" w:before="0" w:line="360" w:lineRule="atLeast"/>
    </w:pPr>
    <w:rPr>
      <w:rFonts w:ascii="Times New Roman" w:eastAsia="Times New Roman" w:hAnsi="Times New Roman"/>
      <w:szCs w:val="24"/>
      <w:lang w:eastAsia="pl-PL"/>
    </w:rPr>
  </w:style>
  <w:style w:styleId="style37" w:type="paragraph">
    <w:name w:val="Stopka"/>
    <w:basedOn w:val="style0"/>
    <w:next w:val="style37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8" w:type="paragraph">
    <w:name w:val="Normal"/>
    <w:next w:val="style38"/>
    <w:pPr>
      <w:widowControl/>
      <w:tabs>
        <w:tab w:leader="none" w:pos="708" w:val="left"/>
      </w:tabs>
      <w:suppressAutoHyphens w:val="true"/>
    </w:pPr>
    <w:rPr>
      <w:rFonts w:ascii="Garamond" w:cs="Garamond" w:eastAsia="Calibri" w:hAnsi="Garamond"/>
      <w:color w:val="000000"/>
      <w:sz w:val="24"/>
      <w:szCs w:val="24"/>
      <w:lang w:bidi="ar-SA" w:eastAsia="pl-PL" w:val="pl-PL"/>
    </w:rPr>
  </w:style>
  <w:style w:styleId="style39" w:type="paragraph">
    <w:name w:val="footnote text"/>
    <w:basedOn w:val="style0"/>
    <w:next w:val="style39"/>
    <w:pPr/>
    <w:rPr>
      <w:sz w:val="20"/>
      <w:szCs w:val="20"/>
    </w:rPr>
  </w:style>
  <w:style w:styleId="style40" w:type="paragraph">
    <w:name w:val="List Paragraph"/>
    <w:basedOn w:val="style0"/>
    <w:next w:val="style40"/>
    <w:pPr>
      <w:ind w:firstLine="851" w:left="720" w:right="0"/>
    </w:pPr>
    <w:rPr/>
  </w:style>
  <w:style w:styleId="style41" w:type="paragraph">
    <w:name w:val="annotation text"/>
    <w:basedOn w:val="style0"/>
    <w:next w:val="style41"/>
    <w:pPr/>
    <w:rPr>
      <w:sz w:val="20"/>
      <w:szCs w:val="20"/>
    </w:rPr>
  </w:style>
  <w:style w:styleId="style42" w:type="paragraph">
    <w:name w:val="annotation subject"/>
    <w:basedOn w:val="style41"/>
    <w:next w:val="style42"/>
    <w:pPr/>
    <w:rPr>
      <w:b/>
      <w:bCs/>
    </w:rPr>
  </w:style>
  <w:style w:styleId="style43" w:type="paragraph">
    <w:name w:val="Revision"/>
    <w:next w:val="style43"/>
    <w:pPr>
      <w:widowControl/>
      <w:tabs>
        <w:tab w:leader="none" w:pos="708" w:val="left"/>
      </w:tabs>
      <w:suppressAutoHyphens w:val="true"/>
    </w:pPr>
    <w:rPr>
      <w:rFonts w:ascii="MetaPro-Normal" w:cs="Times New Roman" w:eastAsia="Calibri" w:hAnsi="MetaPro-Normal"/>
      <w:color w:val="auto"/>
      <w:sz w:val="22"/>
      <w:szCs w:val="22"/>
      <w:lang w:bidi="ar-SA" w:eastAsia="en-US" w:val="pl-PL"/>
    </w:rPr>
  </w:style>
  <w:style w:styleId="style44" w:type="paragraph">
    <w:name w:val="Przypis dolny"/>
    <w:basedOn w:val="style0"/>
    <w:next w:val="style44"/>
    <w:pPr>
      <w:suppressLineNumbers/>
      <w:ind w:hanging="339" w:left="339" w:right="0"/>
    </w:pPr>
    <w:rPr>
      <w:sz w:val="20"/>
      <w:szCs w:val="20"/>
    </w:rPr>
  </w:style>
  <w:style w:styleId="style45" w:type="paragraph">
    <w:name w:val="Nagłówek"/>
    <w:basedOn w:val="style0"/>
    <w:next w:val="style45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e-Firmowka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2016-03-10T10:48:00.00Z</dcterms:created>
  <dc:creator>maciej</dc:creator>
  <cp:lastModifiedBy>wskrzypek</cp:lastModifiedBy>
  <cp:lastPrinted>2009-11-06T14:10:00.00Z</cp:lastPrinted>
  <dcterms:modified xsi:type="dcterms:W3CDTF">2016-03-10T10:48:00.00Z</dcterms:modified>
  <cp:revision>2</cp:revision>
</cp:coreProperties>
</file>